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3B065" w14:textId="70F78138"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Pr>
          <w:rFonts w:ascii="Arial" w:eastAsia="MS Mincho" w:hAnsi="Arial"/>
          <w:b/>
          <w:sz w:val="24"/>
          <w:szCs w:val="24"/>
          <w:lang w:eastAsia="x-none"/>
        </w:rPr>
        <w:t xml:space="preserve">107           </w:t>
      </w:r>
      <w:r>
        <w:rPr>
          <w:rFonts w:ascii="Arial" w:eastAsia="MS Mincho" w:hAnsi="Arial"/>
          <w:b/>
          <w:sz w:val="24"/>
          <w:szCs w:val="24"/>
          <w:lang w:eastAsia="x-none"/>
        </w:rPr>
        <w:tab/>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Pr="00751BD7">
        <w:rPr>
          <w:rFonts w:ascii="Arial" w:eastAsia="MS Mincho" w:hAnsi="Arial"/>
          <w:b/>
          <w:sz w:val="24"/>
          <w:szCs w:val="24"/>
          <w:lang w:eastAsia="x-none"/>
        </w:rPr>
        <w:t>R2-1</w:t>
      </w:r>
      <w:r>
        <w:rPr>
          <w:rFonts w:ascii="Arial" w:eastAsia="MS Mincho" w:hAnsi="Arial"/>
          <w:b/>
          <w:sz w:val="24"/>
          <w:szCs w:val="24"/>
          <w:lang w:eastAsia="x-none"/>
        </w:rPr>
        <w:t>9</w:t>
      </w:r>
      <w:r w:rsidR="00967275">
        <w:rPr>
          <w:rFonts w:ascii="Arial" w:eastAsia="MS Mincho" w:hAnsi="Arial"/>
          <w:b/>
          <w:sz w:val="24"/>
          <w:szCs w:val="24"/>
          <w:lang w:eastAsia="x-none"/>
        </w:rPr>
        <w:t>10450</w:t>
      </w:r>
    </w:p>
    <w:p w14:paraId="1E03B066" w14:textId="77D4A5BC" w:rsidR="005E43A7" w:rsidRDefault="005E43A7" w:rsidP="005E43A7">
      <w:pPr>
        <w:pStyle w:val="3GPPHeader"/>
        <w:jc w:val="right"/>
        <w:rPr>
          <w:rFonts w:eastAsia="MS Mincho"/>
          <w:szCs w:val="24"/>
          <w:lang w:eastAsia="x-none"/>
        </w:rPr>
      </w:pPr>
      <w:r>
        <w:rPr>
          <w:rFonts w:eastAsia="MS Mincho"/>
          <w:szCs w:val="24"/>
          <w:lang w:eastAsia="x-none"/>
        </w:rPr>
        <w:t xml:space="preserve">Prague, Czech Republic, Aug 26--30, 2019      </w:t>
      </w:r>
      <w:bookmarkStart w:id="0" w:name="_GoBack"/>
      <w:bookmarkEnd w:id="0"/>
      <w:r w:rsidRPr="00751BD7">
        <w:rPr>
          <w:rFonts w:eastAsia="MS Mincho"/>
          <w:szCs w:val="24"/>
          <w:lang w:eastAsia="x-none"/>
        </w:rPr>
        <w:tab/>
      </w:r>
    </w:p>
    <w:p w14:paraId="1E03B067" w14:textId="23A00EB5"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Pr="007F217B">
        <w:rPr>
          <w:sz w:val="22"/>
          <w:szCs w:val="22"/>
          <w:lang w:val="sv-SE"/>
        </w:rPr>
        <w:t>11.1.</w:t>
      </w:r>
      <w:r w:rsidR="00967275" w:rsidRPr="00967275">
        <w:rPr>
          <w:sz w:val="22"/>
          <w:szCs w:val="22"/>
          <w:lang w:val="sv-SE"/>
        </w:rPr>
        <w:t>4</w:t>
      </w:r>
    </w:p>
    <w:p w14:paraId="1E03B068"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1E03B069" w14:textId="77777777" w:rsidR="005E43A7" w:rsidRPr="00CE0424" w:rsidRDefault="005E43A7" w:rsidP="005E43A7">
      <w:pPr>
        <w:pStyle w:val="3GPPHeader"/>
        <w:jc w:val="left"/>
        <w:rPr>
          <w:sz w:val="22"/>
          <w:szCs w:val="22"/>
        </w:rPr>
      </w:pPr>
      <w:r>
        <w:rPr>
          <w:sz w:val="22"/>
          <w:szCs w:val="22"/>
        </w:rPr>
        <w:t>Title:</w:t>
      </w:r>
      <w:r>
        <w:rPr>
          <w:sz w:val="22"/>
          <w:szCs w:val="22"/>
        </w:rPr>
        <w:tab/>
      </w:r>
      <w:r w:rsidR="00EF677B">
        <w:rPr>
          <w:sz w:val="22"/>
          <w:szCs w:val="22"/>
        </w:rPr>
        <w:t>Lossless delivery</w:t>
      </w:r>
    </w:p>
    <w:p w14:paraId="1E03B06A"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1E03B06B" w14:textId="77777777" w:rsidR="007D3113" w:rsidRDefault="005E43A7" w:rsidP="005E43A7">
      <w:pPr>
        <w:pStyle w:val="Heading1"/>
      </w:pPr>
      <w:r>
        <w:t>Introduction</w:t>
      </w:r>
    </w:p>
    <w:p w14:paraId="1E03B06C" w14:textId="77777777" w:rsidR="000C6AC2" w:rsidRDefault="000C6AC2" w:rsidP="005E43A7">
      <w:r>
        <w:t xml:space="preserve">The issue of lossless delivery </w:t>
      </w:r>
      <w:r w:rsidR="003437FF">
        <w:t>in</w:t>
      </w:r>
      <w:r>
        <w:t xml:space="preserve"> IAB networks was discussed in an email discussion </w:t>
      </w:r>
      <w:r>
        <w:fldChar w:fldCharType="begin"/>
      </w:r>
      <w:r>
        <w:instrText xml:space="preserve"> REF _Ref16608356 \r \h </w:instrText>
      </w:r>
      <w:r>
        <w:fldChar w:fldCharType="separate"/>
      </w:r>
      <w:r>
        <w:t>[1]</w:t>
      </w:r>
      <w:r>
        <w:fldChar w:fldCharType="end"/>
      </w:r>
      <w:r>
        <w:t>. Various solutions were considered to implement lossless delivery in the uplink in the event of a backhaul failure. After much discussion it appears several companies favor solution B1 in the email discussion. In this contribution we consider the details of B1 and analyze how this can work in an IAB network.</w:t>
      </w:r>
    </w:p>
    <w:p w14:paraId="1E03B06D" w14:textId="77777777" w:rsidR="005E43A7" w:rsidRDefault="005E43A7" w:rsidP="005E43A7">
      <w:pPr>
        <w:pStyle w:val="Heading1"/>
      </w:pPr>
      <w:r>
        <w:t>Discussion</w:t>
      </w:r>
    </w:p>
    <w:p w14:paraId="1E03B06E" w14:textId="77777777" w:rsidR="000C6AC2" w:rsidRPr="000C6AC2" w:rsidRDefault="000C6AC2" w:rsidP="000C6AC2">
      <w:r>
        <w:t xml:space="preserve">The discussion in </w:t>
      </w:r>
      <w:r>
        <w:fldChar w:fldCharType="begin"/>
      </w:r>
      <w:r>
        <w:instrText xml:space="preserve"> REF _Ref16608356 \r \h </w:instrText>
      </w:r>
      <w:r>
        <w:fldChar w:fldCharType="separate"/>
      </w:r>
      <w:r>
        <w:t>[1]</w:t>
      </w:r>
      <w:r>
        <w:fldChar w:fldCharType="end"/>
      </w:r>
      <w:r>
        <w:t xml:space="preserve"> was based on the network in </w:t>
      </w:r>
      <w:r>
        <w:fldChar w:fldCharType="begin"/>
      </w:r>
      <w:r>
        <w:instrText xml:space="preserve"> REF _Ref16608778 \h </w:instrText>
      </w:r>
      <w:r>
        <w:fldChar w:fldCharType="separate"/>
      </w:r>
      <w:r>
        <w:t xml:space="preserve">Figure </w:t>
      </w:r>
      <w:r>
        <w:rPr>
          <w:noProof/>
        </w:rPr>
        <w:t>1</w:t>
      </w:r>
      <w:r>
        <w:fldChar w:fldCharType="end"/>
      </w:r>
      <w:r>
        <w:t>. Solutions B1, B2, C1, C2 and D were all considered and the pros and cons of each were described. After a lot of discussion it appears that several companies prefer to adopt solution B1.</w:t>
      </w:r>
    </w:p>
    <w:p w14:paraId="1E03B06F" w14:textId="77777777" w:rsidR="000C6AC2" w:rsidRDefault="000C6AC2" w:rsidP="000C6AC2">
      <w:pPr>
        <w:keepNext/>
        <w:jc w:val="center"/>
      </w:pPr>
      <w:r>
        <w:rPr>
          <w:rFonts w:ascii="Arial" w:eastAsia="SimSun" w:hAnsi="Arial"/>
          <w:sz w:val="20"/>
          <w:szCs w:val="20"/>
          <w:lang w:val="en-US" w:eastAsia="zh-CN"/>
        </w:rPr>
        <w:object w:dxaOrig="8424" w:dyaOrig="3876" w14:anchorId="1E03B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21.2pt;height:193.8pt;mso-position-horizontal-relative:page;mso-position-vertical-relative:page" o:ole="">
            <v:imagedata r:id="rId8" o:title=""/>
          </v:shape>
          <o:OLEObject Type="Embed" ProgID="Visio.Drawing.15" ShapeID="对象 1" DrawAspect="Content" ObjectID="_1627406818" r:id="rId9"/>
        </w:object>
      </w:r>
    </w:p>
    <w:p w14:paraId="1E03B070" w14:textId="77777777" w:rsidR="000C6AC2" w:rsidRDefault="000C6AC2" w:rsidP="000C6AC2">
      <w:pPr>
        <w:pStyle w:val="Caption"/>
        <w:jc w:val="center"/>
      </w:pPr>
      <w:bookmarkStart w:id="1" w:name="_Ref16608778"/>
      <w:r>
        <w:t xml:space="preserve">Figure </w:t>
      </w:r>
      <w:r>
        <w:fldChar w:fldCharType="begin"/>
      </w:r>
      <w:r>
        <w:instrText xml:space="preserve"> SEQ Figure \* ARABIC </w:instrText>
      </w:r>
      <w:r>
        <w:fldChar w:fldCharType="separate"/>
      </w:r>
      <w:r>
        <w:rPr>
          <w:noProof/>
        </w:rPr>
        <w:t>1</w:t>
      </w:r>
      <w:r>
        <w:fldChar w:fldCharType="end"/>
      </w:r>
      <w:bookmarkEnd w:id="1"/>
    </w:p>
    <w:p w14:paraId="1E03B071" w14:textId="77777777" w:rsidR="000C6AC2" w:rsidRDefault="000C6AC2" w:rsidP="000C6AC2">
      <w:r>
        <w:t>Solution B1 is described as shown below:</w:t>
      </w:r>
    </w:p>
    <w:p w14:paraId="1E03B072" w14:textId="77777777" w:rsidR="000C6AC2" w:rsidRDefault="000C6AC2" w:rsidP="000C6AC2">
      <w:pPr>
        <w:numPr>
          <w:ilvl w:val="0"/>
          <w:numId w:val="6"/>
        </w:numPr>
        <w:spacing w:after="120" w:line="240" w:lineRule="auto"/>
        <w:ind w:left="567" w:hanging="207"/>
        <w:jc w:val="left"/>
        <w:rPr>
          <w:rFonts w:ascii="Arial" w:hAnsi="Arial"/>
        </w:rPr>
      </w:pPr>
      <w:r>
        <w:t>The IAB node, encountering the BH RLF, performs the routing or rerouting of the data (e.g. PDCP PDU #3, #4, #5, #6 which have not been successfully received by the old IAB node e.g. node #2, on the new routing path (e.g. via node #3 in Fig.1);</w:t>
      </w:r>
    </w:p>
    <w:p w14:paraId="1E03B073" w14:textId="77777777" w:rsidR="000C6AC2" w:rsidRDefault="000C6AC2" w:rsidP="000C6AC2">
      <w:pPr>
        <w:numPr>
          <w:ilvl w:val="0"/>
          <w:numId w:val="6"/>
        </w:numPr>
        <w:spacing w:after="120" w:line="240" w:lineRule="auto"/>
        <w:ind w:left="567" w:hanging="207"/>
        <w:jc w:val="left"/>
      </w:pPr>
      <w:r>
        <w:t>The data (e.g. PDCP PDU #1, #2) which has been successfully received by the old IAB node (e.g. node #2) will be routed to the donor via the old routing path;</w:t>
      </w:r>
    </w:p>
    <w:p w14:paraId="1E03B074" w14:textId="77777777" w:rsidR="000C6AC2" w:rsidRDefault="000C6AC2" w:rsidP="000C6AC2">
      <w:r>
        <w:lastRenderedPageBreak/>
        <w:t>Several companies have also pointed out that the network can implement the B1 approach without any specification needed.</w:t>
      </w:r>
    </w:p>
    <w:p w14:paraId="1E03B075" w14:textId="77777777" w:rsidR="000C6AC2" w:rsidRDefault="000C6AC2" w:rsidP="000C6AC2">
      <w:r>
        <w:t>We examine below how solution B1 can work.</w:t>
      </w:r>
    </w:p>
    <w:p w14:paraId="1E03B076" w14:textId="77777777" w:rsidR="000C6AC2" w:rsidRDefault="000C6AC2" w:rsidP="000C6AC2">
      <w:r>
        <w:t>A primary requirement for IAB node#1 to be able to transmit PDUs via node#3 is that it has to have dual connectivity to the CU</w:t>
      </w:r>
      <w:r w:rsidR="006D3402">
        <w:t xml:space="preserve"> (via IAB node #2 and node #3)</w:t>
      </w:r>
      <w:r>
        <w:t xml:space="preserve">. </w:t>
      </w:r>
      <w:r>
        <w:fldChar w:fldCharType="begin"/>
      </w:r>
      <w:r>
        <w:instrText xml:space="preserve"> REF _Ref16613037 \r \h </w:instrText>
      </w:r>
      <w:r>
        <w:fldChar w:fldCharType="separate"/>
      </w:r>
      <w:r>
        <w:t>[2]</w:t>
      </w:r>
      <w:r>
        <w:fldChar w:fldCharType="end"/>
      </w:r>
      <w:r>
        <w:t xml:space="preserve"> </w:t>
      </w:r>
      <w:proofErr w:type="gramStart"/>
      <w:r>
        <w:t>discusses</w:t>
      </w:r>
      <w:proofErr w:type="gramEnd"/>
      <w:r>
        <w:t xml:space="preserve"> the details of dual connectivity in IAB networks. Given that IAB nodes do not have PDCP, the dual connectivity configuration is betwee</w:t>
      </w:r>
      <w:r w:rsidR="0087573C">
        <w:t>n UEs and the CU. In order to be able to transmit PDUs #3-#6 via node #3:</w:t>
      </w:r>
    </w:p>
    <w:p w14:paraId="1E03B077" w14:textId="77777777" w:rsidR="0087573C" w:rsidRDefault="0087573C" w:rsidP="0087573C">
      <w:pPr>
        <w:pStyle w:val="ListParagraph"/>
        <w:numPr>
          <w:ilvl w:val="0"/>
          <w:numId w:val="7"/>
        </w:numPr>
      </w:pPr>
      <w:r>
        <w:t>The routing configuration at IAB node#1 has to allow transmission of PDUs to node #3.</w:t>
      </w:r>
    </w:p>
    <w:p w14:paraId="1E03B078" w14:textId="77777777" w:rsidR="0087573C" w:rsidRDefault="0087573C" w:rsidP="0087573C">
      <w:pPr>
        <w:pStyle w:val="ListParagraph"/>
        <w:numPr>
          <w:ilvl w:val="0"/>
          <w:numId w:val="7"/>
        </w:numPr>
      </w:pPr>
      <w:r>
        <w:t xml:space="preserve">The bearers corresponding to PDUs #3 - #6 have to be configured to support dual connectivity as split bearers. </w:t>
      </w:r>
    </w:p>
    <w:p w14:paraId="1E03B079" w14:textId="77777777" w:rsidR="000C6AC2" w:rsidRPr="00095227" w:rsidRDefault="000C6AC2" w:rsidP="000C6AC2">
      <w:pPr>
        <w:rPr>
          <w:b/>
          <w:i/>
        </w:rPr>
      </w:pPr>
      <w:r w:rsidRPr="00095227">
        <w:rPr>
          <w:b/>
          <w:i/>
        </w:rPr>
        <w:t xml:space="preserve">Observation 1: </w:t>
      </w:r>
      <w:r w:rsidR="003437FF" w:rsidRPr="00095227">
        <w:rPr>
          <w:b/>
          <w:i/>
        </w:rPr>
        <w:t xml:space="preserve">In order to seamlessly transmit PDUs via IAB node#3 instead of node#2, </w:t>
      </w:r>
      <w:r w:rsidR="00095227" w:rsidRPr="00095227">
        <w:rPr>
          <w:b/>
          <w:i/>
        </w:rPr>
        <w:t xml:space="preserve">bearers have to be configured with </w:t>
      </w:r>
      <w:r w:rsidR="003437FF" w:rsidRPr="00095227">
        <w:rPr>
          <w:b/>
          <w:i/>
        </w:rPr>
        <w:t>d</w:t>
      </w:r>
      <w:r w:rsidRPr="00095227">
        <w:rPr>
          <w:b/>
          <w:i/>
        </w:rPr>
        <w:t>ual connectivity at IAB node #1 with a split bearer. PDCP PDUs #3, #4, #5, #6 have to belong to UE bearers that are configured in this manner.</w:t>
      </w:r>
    </w:p>
    <w:p w14:paraId="1E03B07A" w14:textId="77777777" w:rsidR="000C6AC2" w:rsidRPr="00095227" w:rsidRDefault="000C6AC2" w:rsidP="000C6AC2">
      <w:pPr>
        <w:rPr>
          <w:b/>
          <w:i/>
        </w:rPr>
      </w:pPr>
      <w:r w:rsidRPr="00095227">
        <w:rPr>
          <w:b/>
          <w:i/>
        </w:rPr>
        <w:t>Observation 2: If IAB node #1 is already configured in the manner described in obs</w:t>
      </w:r>
      <w:r w:rsidR="00095227" w:rsidRPr="00095227">
        <w:rPr>
          <w:b/>
          <w:i/>
        </w:rPr>
        <w:t>ervation</w:t>
      </w:r>
      <w:r w:rsidRPr="00095227">
        <w:rPr>
          <w:b/>
          <w:i/>
        </w:rPr>
        <w:t xml:space="preserve"> 1, PDCP PDUs can be sent on the second route without any delay (and no additional specification work is needed).</w:t>
      </w:r>
    </w:p>
    <w:p w14:paraId="1E03B07B" w14:textId="77777777" w:rsidR="000C6AC2" w:rsidRDefault="00095227" w:rsidP="000C6AC2">
      <w:r>
        <w:t xml:space="preserve">However, if IAB node#1 is </w:t>
      </w:r>
      <w:r w:rsidRPr="00095227">
        <w:rPr>
          <w:u w:val="single"/>
        </w:rPr>
        <w:t>not</w:t>
      </w:r>
      <w:r>
        <w:t xml:space="preserve"> configured as described in observation 1, once an RLF is observed on the node#1-node#2 link, it may be too late to configure dual connectivity at IAB node#1. In such a case, the following are needed:</w:t>
      </w:r>
    </w:p>
    <w:p w14:paraId="1E03B07C" w14:textId="77777777" w:rsidR="00095227" w:rsidRDefault="00095227" w:rsidP="00095227">
      <w:pPr>
        <w:pStyle w:val="ListParagraph"/>
        <w:numPr>
          <w:ilvl w:val="0"/>
          <w:numId w:val="7"/>
        </w:numPr>
      </w:pPr>
      <w:r>
        <w:t>Establishment of an alternate route from node 1 to IAB donor. This may require cell search measurements, system information acquisition etc.</w:t>
      </w:r>
    </w:p>
    <w:p w14:paraId="1E03B07D" w14:textId="77777777" w:rsidR="00095227" w:rsidRDefault="00095227" w:rsidP="00095227">
      <w:pPr>
        <w:pStyle w:val="ListParagraph"/>
        <w:numPr>
          <w:ilvl w:val="0"/>
          <w:numId w:val="7"/>
        </w:numPr>
      </w:pPr>
      <w:r>
        <w:t>Update of routing tables at node#1 and node#3.</w:t>
      </w:r>
    </w:p>
    <w:p w14:paraId="1E03B07E" w14:textId="77777777" w:rsidR="00095227" w:rsidRPr="00095227" w:rsidRDefault="00095227" w:rsidP="00095227">
      <w:pPr>
        <w:rPr>
          <w:b/>
          <w:i/>
        </w:rPr>
      </w:pPr>
      <w:r w:rsidRPr="00095227">
        <w:rPr>
          <w:b/>
          <w:i/>
        </w:rPr>
        <w:t>Observation 3: If IAB node#1 is not configured for dual connectivity prior to RLF, then delays related to establishment of an alternate route (including cell search measurements, system information acquisition) and routing table updates will be incurred before PDUs can be transmitted via an alternate path.</w:t>
      </w:r>
    </w:p>
    <w:p w14:paraId="1E03B07F" w14:textId="77777777" w:rsidR="000C6AC2" w:rsidRDefault="000C6AC2" w:rsidP="000C6AC2">
      <w:r>
        <w:t xml:space="preserve">Meanwhile, once the PDCP receiver at the CU notices a missing PDCP PDU, it stalls waiting for the missing PDU. Eventually </w:t>
      </w:r>
      <w:r w:rsidR="00095227">
        <w:t>due to a PDCP time out, upper layer retransmissions are triggered</w:t>
      </w:r>
      <w:r>
        <w:t>.</w:t>
      </w:r>
      <w:r w:rsidR="00095227">
        <w:t xml:space="preserve"> This renders transmission of PDUs #3-#6 via node#3 unnecessary.</w:t>
      </w:r>
    </w:p>
    <w:p w14:paraId="1E03B080" w14:textId="77777777" w:rsidR="00095227" w:rsidRDefault="00095227" w:rsidP="000C6AC2">
      <w:pPr>
        <w:rPr>
          <w:b/>
          <w:i/>
        </w:rPr>
      </w:pPr>
      <w:r w:rsidRPr="00095227">
        <w:rPr>
          <w:b/>
          <w:i/>
        </w:rPr>
        <w:t>Observation 4: The only scenario where PDUs #3-#6 can be transmitted via an alternate path, is the one where the UE is already configured with split bearers that are mapped to two paths. However, in such a case, the routing and bearer mapping mechanisms would already be in place to transmit PDUs #3-#6 on either path.</w:t>
      </w:r>
    </w:p>
    <w:p w14:paraId="1E03B081" w14:textId="77777777" w:rsidR="00BA62E6" w:rsidRPr="00BA62E6" w:rsidRDefault="00BA62E6" w:rsidP="000C6AC2">
      <w:r>
        <w:t>Based on this we propose the following.</w:t>
      </w:r>
    </w:p>
    <w:p w14:paraId="1E03B082" w14:textId="77777777" w:rsidR="000C6AC2" w:rsidRPr="00BA62E6" w:rsidRDefault="00095227" w:rsidP="000C6AC2">
      <w:pPr>
        <w:rPr>
          <w:b/>
          <w:i/>
        </w:rPr>
      </w:pPr>
      <w:r w:rsidRPr="00BA62E6">
        <w:rPr>
          <w:b/>
          <w:i/>
        </w:rPr>
        <w:t>Proposal: RAN2 should focus on specifying dual connectivity for IAB networks. Nothing further is needed to support the B1 approach of lossless delivery.</w:t>
      </w:r>
    </w:p>
    <w:p w14:paraId="1E03B083" w14:textId="77777777" w:rsidR="005E43A7" w:rsidRDefault="005E43A7" w:rsidP="005E43A7">
      <w:pPr>
        <w:pStyle w:val="Heading1"/>
      </w:pPr>
      <w:r>
        <w:lastRenderedPageBreak/>
        <w:t>Conclusion</w:t>
      </w:r>
    </w:p>
    <w:p w14:paraId="1E03B084" w14:textId="72E1FDFB" w:rsidR="005E43A7" w:rsidRDefault="00967275" w:rsidP="005E43A7">
      <w:r>
        <w:t xml:space="preserve">In this contribution we have analysed the details of the lossless delivery mechanism B1 discussed in </w:t>
      </w:r>
      <w:r>
        <w:fldChar w:fldCharType="begin"/>
      </w:r>
      <w:r>
        <w:instrText xml:space="preserve"> REF _Ref16608356 \r \h </w:instrText>
      </w:r>
      <w:r>
        <w:fldChar w:fldCharType="separate"/>
      </w:r>
      <w:r>
        <w:t>[1]</w:t>
      </w:r>
      <w:r>
        <w:fldChar w:fldCharType="end"/>
      </w:r>
      <w:r>
        <w:t>. B1 does not guarantee lossless delivery. Furthermore, we have discussed the specific conditions under which B1 can enable rerouting of packets. Below are our observations and proposals.</w:t>
      </w:r>
    </w:p>
    <w:p w14:paraId="6F131082" w14:textId="77777777" w:rsidR="00967275" w:rsidRPr="00095227" w:rsidRDefault="00967275" w:rsidP="00967275">
      <w:pPr>
        <w:rPr>
          <w:b/>
          <w:i/>
        </w:rPr>
      </w:pPr>
      <w:r w:rsidRPr="00095227">
        <w:rPr>
          <w:b/>
          <w:i/>
        </w:rPr>
        <w:t>Observation 1: In order to seamlessly transmit PDUs via IAB node#3 instead of node#2, bearers have to be configured with dual connectivity at IAB node #1 with a split bearer. PDCP PDUs #3, #4, #5, #6 have to belong to UE bearers that are configured in this manner.</w:t>
      </w:r>
    </w:p>
    <w:p w14:paraId="496D2B96" w14:textId="77777777" w:rsidR="00967275" w:rsidRPr="00095227" w:rsidRDefault="00967275" w:rsidP="00967275">
      <w:pPr>
        <w:rPr>
          <w:b/>
          <w:i/>
        </w:rPr>
      </w:pPr>
      <w:r w:rsidRPr="00095227">
        <w:rPr>
          <w:b/>
          <w:i/>
        </w:rPr>
        <w:t>Observation 2: If IAB node #1 is already configured in the manner described in observation 1, PDCP PDUs can be sent on the second route without any delay (and no additional specification work is needed).</w:t>
      </w:r>
    </w:p>
    <w:p w14:paraId="7C2DE3BE" w14:textId="77777777" w:rsidR="00967275" w:rsidRPr="00095227" w:rsidRDefault="00967275" w:rsidP="00967275">
      <w:pPr>
        <w:rPr>
          <w:b/>
          <w:i/>
        </w:rPr>
      </w:pPr>
      <w:r w:rsidRPr="00095227">
        <w:rPr>
          <w:b/>
          <w:i/>
        </w:rPr>
        <w:t>Observation 3: If IAB node#1 is not configured for dual connectivity prior to RLF, then delays related to establishment of an alternate route (including cell search measurements, system information acquisition) and routing table updates will be incurred before PDUs can be transmitted via an alternate path.</w:t>
      </w:r>
    </w:p>
    <w:p w14:paraId="0786F074" w14:textId="77777777" w:rsidR="00967275" w:rsidRDefault="00967275" w:rsidP="00967275">
      <w:pPr>
        <w:rPr>
          <w:b/>
          <w:i/>
        </w:rPr>
      </w:pPr>
      <w:r w:rsidRPr="00095227">
        <w:rPr>
          <w:b/>
          <w:i/>
        </w:rPr>
        <w:t>Observation 4: The only scenario where PDUs #3-#6 can be transmitted via an alternate path, is the one where the UE is already configured with split bearers that are mapped to two paths. However, in such a case, the routing and bearer mapping mechanisms would already be in place to transmit PDUs #3-#6 on either path.</w:t>
      </w:r>
    </w:p>
    <w:p w14:paraId="5F8B023E" w14:textId="0640F9D4" w:rsidR="00967275" w:rsidRPr="007F217B" w:rsidRDefault="00967275" w:rsidP="005E43A7">
      <w:pPr>
        <w:rPr>
          <w:b/>
          <w:i/>
        </w:rPr>
      </w:pPr>
      <w:r w:rsidRPr="00BA62E6">
        <w:rPr>
          <w:b/>
          <w:i/>
        </w:rPr>
        <w:t>Proposal: RAN2 should focus on specifying dual connectivity for IAB networks. Nothing further is needed to support the B1 approach of lossless delivery.</w:t>
      </w:r>
    </w:p>
    <w:p w14:paraId="1E03B085" w14:textId="77777777" w:rsidR="005E43A7" w:rsidRPr="005E43A7" w:rsidRDefault="005E43A7" w:rsidP="005E43A7">
      <w:pPr>
        <w:pStyle w:val="Heading1"/>
      </w:pPr>
      <w:r>
        <w:t>References</w:t>
      </w:r>
    </w:p>
    <w:p w14:paraId="1E03B086" w14:textId="77777777" w:rsidR="005E43A7" w:rsidRDefault="000C6AC2" w:rsidP="000C6AC2">
      <w:pPr>
        <w:pStyle w:val="ListParagraph"/>
        <w:numPr>
          <w:ilvl w:val="0"/>
          <w:numId w:val="5"/>
        </w:numPr>
      </w:pPr>
      <w:bookmarkStart w:id="2" w:name="_Ref16608356"/>
      <w:r>
        <w:t>Report of email discussion [106#45]</w:t>
      </w:r>
      <w:bookmarkEnd w:id="2"/>
    </w:p>
    <w:p w14:paraId="1E03B087" w14:textId="7E1B4936" w:rsidR="000C6AC2" w:rsidRDefault="000C6AC2" w:rsidP="000C6AC2">
      <w:pPr>
        <w:pStyle w:val="ListParagraph"/>
        <w:numPr>
          <w:ilvl w:val="0"/>
          <w:numId w:val="5"/>
        </w:numPr>
      </w:pPr>
      <w:bookmarkStart w:id="3" w:name="_Ref16613037"/>
      <w:r>
        <w:t>R2-</w:t>
      </w:r>
      <w:r w:rsidR="00967275">
        <w:t>1910447</w:t>
      </w:r>
      <w:r>
        <w:t>, Multi-connectivity support in IAB, Intel Corp.</w:t>
      </w:r>
      <w:bookmarkEnd w:id="3"/>
    </w:p>
    <w:p w14:paraId="1E03B088"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225C08"/>
    <w:multiLevelType w:val="hybridMultilevel"/>
    <w:tmpl w:val="DB9EC2F2"/>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F51974"/>
    <w:multiLevelType w:val="hybridMultilevel"/>
    <w:tmpl w:val="B0261F42"/>
    <w:lvl w:ilvl="0" w:tplc="9D76621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BF7757"/>
    <w:multiLevelType w:val="multilevel"/>
    <w:tmpl w:val="75BF77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3A7"/>
    <w:rsid w:val="00055D7C"/>
    <w:rsid w:val="00095227"/>
    <w:rsid w:val="000973A9"/>
    <w:rsid w:val="000A70B6"/>
    <w:rsid w:val="000C6AC2"/>
    <w:rsid w:val="00250C7C"/>
    <w:rsid w:val="002A16FD"/>
    <w:rsid w:val="002E426F"/>
    <w:rsid w:val="003437FF"/>
    <w:rsid w:val="00376D47"/>
    <w:rsid w:val="003E37E9"/>
    <w:rsid w:val="00430F7C"/>
    <w:rsid w:val="00462D95"/>
    <w:rsid w:val="0055044A"/>
    <w:rsid w:val="0055227E"/>
    <w:rsid w:val="005E43A7"/>
    <w:rsid w:val="00657311"/>
    <w:rsid w:val="006D3402"/>
    <w:rsid w:val="007F217B"/>
    <w:rsid w:val="0087573C"/>
    <w:rsid w:val="00967275"/>
    <w:rsid w:val="009D7305"/>
    <w:rsid w:val="00A156B4"/>
    <w:rsid w:val="00BA62E6"/>
    <w:rsid w:val="00C06AF3"/>
    <w:rsid w:val="00C912D3"/>
    <w:rsid w:val="00E42E5A"/>
    <w:rsid w:val="00E51C6E"/>
    <w:rsid w:val="00EE61FA"/>
    <w:rsid w:val="00EF677B"/>
    <w:rsid w:val="00F4145D"/>
    <w:rsid w:val="00F83DA2"/>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3B065"/>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72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27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474402">
      <w:bodyDiv w:val="1"/>
      <w:marLeft w:val="0"/>
      <w:marRight w:val="0"/>
      <w:marTop w:val="0"/>
      <w:marBottom w:val="0"/>
      <w:divBdr>
        <w:top w:val="none" w:sz="0" w:space="0" w:color="auto"/>
        <w:left w:val="none" w:sz="0" w:space="0" w:color="auto"/>
        <w:bottom w:val="none" w:sz="0" w:space="0" w:color="auto"/>
        <w:right w:val="none" w:sz="0" w:space="0" w:color="auto"/>
      </w:divBdr>
    </w:div>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1FA1F-073F-417A-9799-D78F5D54B7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4E0562-2A09-40B5-94AC-A798B4312032}">
  <ds:schemaRefs>
    <ds:schemaRef ds:uri="http://schemas.microsoft.com/sharepoint/v3/contenttype/forms"/>
  </ds:schemaRefs>
</ds:datastoreItem>
</file>

<file path=customXml/itemProps3.xml><?xml version="1.0" encoding="utf-8"?>
<ds:datastoreItem xmlns:ds="http://schemas.openxmlformats.org/officeDocument/2006/customXml" ds:itemID="{1D9CDF11-5A8E-463B-B2AD-D904FF6BC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961</Words>
  <Characters>4730</Characters>
  <Application>Microsoft Office Word</Application>
  <DocSecurity>0</DocSecurity>
  <Lines>80</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3</cp:revision>
  <dcterms:created xsi:type="dcterms:W3CDTF">2019-08-16T03:40:00Z</dcterms:created>
  <dcterms:modified xsi:type="dcterms:W3CDTF">2019-08-16T03:41:00Z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082764f5-2879-4603-9a4b-7bfaceea7c7f</vt:lpwstr>
  </property>
  <property fmtid="{D5CDD505-2E9C-101B-9397-08002B2CF9AE}" pid="3" name="CTP_TimeStamp">
    <vt:lpwstr>2019-08-16 03:41:01Z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